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05" w:rsidRPr="008570BB" w:rsidRDefault="00EA7305" w:rsidP="00EA7305">
      <w:pPr>
        <w:widowControl w:val="0"/>
        <w:tabs>
          <w:tab w:val="left" w:pos="4962"/>
        </w:tabs>
        <w:autoSpaceDE w:val="0"/>
        <w:autoSpaceDN w:val="0"/>
        <w:adjustRightInd w:val="0"/>
        <w:ind w:left="4962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Приложение № 6</w:t>
      </w:r>
    </w:p>
    <w:p w:rsidR="00EA7305" w:rsidRPr="008570BB" w:rsidRDefault="00EA7305" w:rsidP="00EA7305">
      <w:pPr>
        <w:widowControl w:val="0"/>
        <w:tabs>
          <w:tab w:val="left" w:pos="4962"/>
        </w:tabs>
        <w:autoSpaceDE w:val="0"/>
        <w:autoSpaceDN w:val="0"/>
        <w:adjustRightInd w:val="0"/>
        <w:ind w:left="4962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к Территориальной программе</w:t>
      </w:r>
    </w:p>
    <w:p w:rsidR="00EA7305" w:rsidRPr="008570BB" w:rsidRDefault="00EA7305" w:rsidP="00EA7305">
      <w:pPr>
        <w:widowControl w:val="0"/>
        <w:tabs>
          <w:tab w:val="left" w:pos="4962"/>
        </w:tabs>
        <w:autoSpaceDE w:val="0"/>
        <w:autoSpaceDN w:val="0"/>
        <w:adjustRightInd w:val="0"/>
        <w:ind w:left="4962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государственных гарантий бесплатного оказания гражданам медицинской помощи на территории Рязанской области</w:t>
      </w:r>
    </w:p>
    <w:p w:rsidR="00EA7305" w:rsidRPr="008570BB" w:rsidRDefault="00EA7305" w:rsidP="00EA7305">
      <w:pPr>
        <w:widowControl w:val="0"/>
        <w:tabs>
          <w:tab w:val="left" w:pos="4962"/>
        </w:tabs>
        <w:autoSpaceDE w:val="0"/>
        <w:autoSpaceDN w:val="0"/>
        <w:adjustRightInd w:val="0"/>
        <w:ind w:left="4962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на 2019 год и на плановый период 2020 и 2021 годов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7305" w:rsidRPr="008570BB" w:rsidRDefault="00EA7305" w:rsidP="00EA730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7305" w:rsidRDefault="00EA7305" w:rsidP="00EA730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Par380"/>
      <w:bookmarkEnd w:id="0"/>
      <w:r w:rsidRPr="008570BB">
        <w:rPr>
          <w:rFonts w:ascii="Times New Roman" w:hAnsi="Times New Roman"/>
          <w:color w:val="000000"/>
          <w:sz w:val="28"/>
          <w:szCs w:val="28"/>
        </w:rPr>
        <w:t xml:space="preserve">Целевые </w:t>
      </w:r>
      <w:hyperlink r:id="rId4" w:anchor="Par334" w:history="1">
        <w:r w:rsidRPr="008570BB">
          <w:rPr>
            <w:rStyle w:val="a3"/>
            <w:rFonts w:ascii="Times New Roman" w:hAnsi="Times New Roman"/>
            <w:color w:val="000000"/>
            <w:sz w:val="28"/>
            <w:szCs w:val="28"/>
          </w:rPr>
          <w:t>значения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критериев доступности</w:t>
      </w:r>
    </w:p>
    <w:p w:rsidR="00EA7305" w:rsidRDefault="00EA7305" w:rsidP="00EA730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и качества медицинской помощи, оказываемой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в рамках территориальной программы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Критериями качества медицинской помощи являются: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удовлетворенность населения медицинской помощью (процентов от числа опрошенных): 2019 год – 47%, в том числе городского населения –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>48%, сельского населения – 46%; 2020 год – 49%, в том числе городского населения – 50%, сельского населения – 48%; 2021 год – 51%, в том числе городского населения – 51%, сельского населения – 50%;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смертность населения в трудоспособном возрасте (число умерших в трудоспособном возрасте на 100 тыс. человек населения): 2019 год – 456,0; 2020 год – 438,0; 2021 год – 420,0;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умерших в трудоспособном возрасте на дому в общем количестве умерших в трудоспособном возрасте: 2019 год – 18%; 2020 год – 16%;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>2021 год – 15%;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материнская смертность (на 100 тыс. человек, родившихся живыми): 2019 год – 9,5; 2020 год – 9,3; 2021 год – 9,2;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младенческая смертность (на 1000 человек, родившихся живыми)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8570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 xml:space="preserve">2019 год – 4,4, в том числе: в городской местности – 4,4, в сельской местности – 4,4; 2020 год – 4,3, в том числе: в городской местности – 4,3,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570BB">
        <w:rPr>
          <w:rFonts w:ascii="Times New Roman" w:hAnsi="Times New Roman"/>
          <w:color w:val="000000"/>
          <w:sz w:val="28"/>
          <w:szCs w:val="28"/>
        </w:rPr>
        <w:t>в сельской местности – 4,3; 2021 год – 4,2, в том числе: в городской местности – 4,2, в сельской местности – 4,2;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умерших в возрасте до 1 года на дому в общем количестве умерших в возрасте до 1 года: 2019 год – 10%; 2020 год – 10%;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70BB">
        <w:rPr>
          <w:rFonts w:ascii="Times New Roman" w:hAnsi="Times New Roman"/>
          <w:color w:val="000000"/>
          <w:sz w:val="28"/>
          <w:szCs w:val="28"/>
        </w:rPr>
        <w:t>2021 год – 10%;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смертность детей в возрасте 0-4 лет (на 1000 родившихся живыми):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>2019 год – 5,6; 2020 год – 5,4; 2021 год – 5,2;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смертность населения (число умерших на 1000 человек населения):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 xml:space="preserve">2019 год – 13,4, в том числе: городского населения – 12,4, сельского населения – 15,8; 2020 год – 13,1, в том числе: городского населения – 12,1, сельского населения – 15,2; 2021 год – 13,1, в том числе: городского населения –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>12,0, сельского населения – 15,0;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умерших в возрасте 0-4 лет на дому в общем количестве умерших в возрасте 0-4 лет: 2019 год – 15%; 2020 год – 15%; 2021 год – 15%;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смертность детей в возрасте 0-17 лет (на 100 тыс. человек населения </w:t>
      </w:r>
      <w:r w:rsidRPr="008570BB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соответствующего возраста): 2019 год – 48,3; 2020 год – 48,2; 2021 год – 48,2;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умерших в возрасте 0-17 лет на дому в общем количестве умерших в возрасте 0-17 лет: 2019 год – 15%; 2020 год – 15%; 2021 год – 15%;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года: 2019 год – 8,3;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570BB">
        <w:rPr>
          <w:rFonts w:ascii="Times New Roman" w:hAnsi="Times New Roman"/>
          <w:color w:val="000000"/>
          <w:sz w:val="28"/>
          <w:szCs w:val="28"/>
        </w:rPr>
        <w:t xml:space="preserve">2020 год – 8,5; 2021 год – 8,7; 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возраста: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570BB">
        <w:rPr>
          <w:rFonts w:ascii="Times New Roman" w:hAnsi="Times New Roman"/>
          <w:color w:val="000000"/>
          <w:sz w:val="28"/>
          <w:szCs w:val="28"/>
        </w:rPr>
        <w:t>2019 год – 6,7; 2020 год – 6,9; 2021 год – 7,0;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учете: 2019 год – 55,4%; 2020 год – 56,0%; 2021 – 56,5%;</w:t>
      </w:r>
    </w:p>
    <w:p w:rsidR="00A556F9" w:rsidRDefault="00EA7305" w:rsidP="00EA7305">
      <w:pPr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впервые выявленных случаев онкологических заболеваний на ранних стадиях (</w:t>
      </w:r>
      <w:r w:rsidRPr="008570B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8570B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8570BB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8570BB">
        <w:rPr>
          <w:rFonts w:ascii="Times New Roman" w:hAnsi="Times New Roman"/>
          <w:color w:val="000000"/>
          <w:sz w:val="28"/>
          <w:szCs w:val="28"/>
        </w:rPr>
        <w:t xml:space="preserve"> стадии) в общем количестве выявленных случаев онкологических заболеваний в течение года: 2019 год – 57,8%; 2020 год </w:t>
      </w:r>
      <w:proofErr w:type="gramStart"/>
      <w:r w:rsidRPr="008570BB">
        <w:rPr>
          <w:rFonts w:ascii="Times New Roman" w:hAnsi="Times New Roman"/>
          <w:color w:val="000000"/>
          <w:sz w:val="28"/>
          <w:szCs w:val="28"/>
        </w:rPr>
        <w:t>–  58</w:t>
      </w:r>
      <w:proofErr w:type="gramEnd"/>
      <w:r w:rsidRPr="008570BB">
        <w:rPr>
          <w:rFonts w:ascii="Times New Roman" w:hAnsi="Times New Roman"/>
          <w:color w:val="000000"/>
          <w:sz w:val="28"/>
          <w:szCs w:val="28"/>
        </w:rPr>
        <w:t>,9%; 2021 год – 60,9%;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наблюдение: 2019 год – 24,2%; 2020 год </w:t>
      </w:r>
      <w:proofErr w:type="gramStart"/>
      <w:r w:rsidRPr="008570BB">
        <w:rPr>
          <w:rFonts w:ascii="Times New Roman" w:hAnsi="Times New Roman"/>
          <w:color w:val="000000"/>
          <w:sz w:val="28"/>
          <w:szCs w:val="28"/>
        </w:rPr>
        <w:t>–  24</w:t>
      </w:r>
      <w:proofErr w:type="gramEnd"/>
      <w:r w:rsidRPr="008570BB">
        <w:rPr>
          <w:rFonts w:ascii="Times New Roman" w:hAnsi="Times New Roman"/>
          <w:color w:val="000000"/>
          <w:sz w:val="28"/>
          <w:szCs w:val="28"/>
        </w:rPr>
        <w:t>,4%; 2021 год – 24,6%;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человека: 2019 год – 36,3%;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 xml:space="preserve">2020 год </w:t>
      </w:r>
      <w:proofErr w:type="gramStart"/>
      <w:r w:rsidRPr="008570BB">
        <w:rPr>
          <w:rFonts w:ascii="Times New Roman" w:hAnsi="Times New Roman"/>
          <w:color w:val="000000"/>
          <w:sz w:val="28"/>
          <w:szCs w:val="28"/>
        </w:rPr>
        <w:t>–  38</w:t>
      </w:r>
      <w:proofErr w:type="gramEnd"/>
      <w:r w:rsidRPr="008570BB">
        <w:rPr>
          <w:rFonts w:ascii="Times New Roman" w:hAnsi="Times New Roman"/>
          <w:color w:val="000000"/>
          <w:sz w:val="28"/>
          <w:szCs w:val="28"/>
        </w:rPr>
        <w:t>,3%; 2021 год – 40,3%;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впервые выявленных случаев фиброзно-кавернозного туберкулеза в общем количестве выявленных случаев туберкулеза в течение года: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570BB">
        <w:rPr>
          <w:rFonts w:ascii="Times New Roman" w:hAnsi="Times New Roman"/>
          <w:color w:val="000000"/>
          <w:sz w:val="28"/>
          <w:szCs w:val="28"/>
        </w:rPr>
        <w:t>2019 год – 1,8%; 2020 год – 1,7%; 2021 год – 1,6%;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миокарда: 2019 год – 72%; 2020 год – 74</w:t>
      </w:r>
      <w:r>
        <w:rPr>
          <w:rFonts w:ascii="Times New Roman" w:hAnsi="Times New Roman"/>
          <w:color w:val="000000"/>
          <w:sz w:val="28"/>
          <w:szCs w:val="28"/>
        </w:rPr>
        <w:t>%; 2021 год – 76</w:t>
      </w:r>
      <w:r w:rsidRPr="008570BB">
        <w:rPr>
          <w:rFonts w:ascii="Times New Roman" w:hAnsi="Times New Roman"/>
          <w:color w:val="000000"/>
          <w:sz w:val="28"/>
          <w:szCs w:val="28"/>
        </w:rPr>
        <w:t>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пациентов с острым инфарктом миокарда, которым проведено </w:t>
      </w:r>
      <w:proofErr w:type="spellStart"/>
      <w:r w:rsidRPr="008570BB">
        <w:rPr>
          <w:rFonts w:ascii="Times New Roman" w:hAnsi="Times New Roman"/>
          <w:color w:val="000000"/>
          <w:sz w:val="28"/>
          <w:szCs w:val="28"/>
        </w:rPr>
        <w:t>стентирование</w:t>
      </w:r>
      <w:proofErr w:type="spellEnd"/>
      <w:r w:rsidRPr="008570BB">
        <w:rPr>
          <w:rFonts w:ascii="Times New Roman" w:hAnsi="Times New Roman"/>
          <w:color w:val="000000"/>
          <w:sz w:val="28"/>
          <w:szCs w:val="28"/>
        </w:rPr>
        <w:t xml:space="preserve"> коронарных артерий, в общем количестве пациентов с острым инфарктом миокарда, имеющих показания к его проведению: 2019 год – 37</w:t>
      </w:r>
      <w:r>
        <w:rPr>
          <w:rFonts w:ascii="Times New Roman" w:hAnsi="Times New Roman"/>
          <w:color w:val="000000"/>
          <w:sz w:val="28"/>
          <w:szCs w:val="28"/>
        </w:rPr>
        <w:t>%; 2020 год – 38%; 2021 год – 39</w:t>
      </w:r>
      <w:r w:rsidRPr="008570BB">
        <w:rPr>
          <w:rFonts w:ascii="Times New Roman" w:hAnsi="Times New Roman"/>
          <w:color w:val="000000"/>
          <w:sz w:val="28"/>
          <w:szCs w:val="28"/>
        </w:rPr>
        <w:t>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8570BB">
        <w:rPr>
          <w:rFonts w:ascii="Times New Roman" w:hAnsi="Times New Roman"/>
          <w:color w:val="000000"/>
          <w:sz w:val="28"/>
          <w:szCs w:val="28"/>
        </w:rPr>
        <w:t>тромболизис</w:t>
      </w:r>
      <w:proofErr w:type="spellEnd"/>
      <w:r w:rsidRPr="008570BB">
        <w:rPr>
          <w:rFonts w:ascii="Times New Roman" w:hAnsi="Times New Roman"/>
          <w:color w:val="000000"/>
          <w:sz w:val="28"/>
          <w:szCs w:val="28"/>
        </w:rPr>
        <w:t xml:space="preserve">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помощи: 2019 год – 9,7%; 2020 год – 9,8%; 2021 год – 10,0%;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доля пациентов с острым инфарктом миокарда, которым проведена </w:t>
      </w:r>
      <w:proofErr w:type="spellStart"/>
      <w:r w:rsidRPr="008570BB">
        <w:rPr>
          <w:rFonts w:ascii="Times New Roman" w:hAnsi="Times New Roman"/>
          <w:color w:val="000000"/>
          <w:sz w:val="28"/>
          <w:szCs w:val="28"/>
        </w:rPr>
        <w:t>тромболитическая</w:t>
      </w:r>
      <w:proofErr w:type="spellEnd"/>
      <w:r w:rsidRPr="008570BB">
        <w:rPr>
          <w:rFonts w:ascii="Times New Roman" w:hAnsi="Times New Roman"/>
          <w:color w:val="000000"/>
          <w:sz w:val="28"/>
          <w:szCs w:val="28"/>
        </w:rPr>
        <w:t xml:space="preserve"> терапия, в общем количестве пациентов с острым инфарктом миокарда, имеющих показания к его проведению: 2019 год –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>36,1%; 2020 год – 36,0%; 2021 год – 35,9%;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</w:t>
      </w:r>
      <w:r w:rsidRPr="008570BB">
        <w:rPr>
          <w:rFonts w:ascii="Times New Roman" w:hAnsi="Times New Roman"/>
          <w:color w:val="000000"/>
          <w:spacing w:val="-2"/>
          <w:sz w:val="28"/>
          <w:szCs w:val="28"/>
        </w:rPr>
        <w:t>региональные сосудистые центры пациентов с острыми цереброваскулярными</w:t>
      </w:r>
      <w:r w:rsidRPr="008570BB">
        <w:rPr>
          <w:rFonts w:ascii="Times New Roman" w:hAnsi="Times New Roman"/>
          <w:color w:val="000000"/>
          <w:sz w:val="28"/>
          <w:szCs w:val="28"/>
        </w:rPr>
        <w:t xml:space="preserve"> болезнями: 2019 год – 39%; 2020 год – 40%; 2021 год – 43%;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пациентов с острым ишемическим инсультом, которым проведена </w:t>
      </w:r>
      <w:proofErr w:type="spellStart"/>
      <w:r w:rsidRPr="008570BB">
        <w:rPr>
          <w:rFonts w:ascii="Times New Roman" w:hAnsi="Times New Roman"/>
          <w:color w:val="000000"/>
          <w:sz w:val="28"/>
          <w:szCs w:val="28"/>
        </w:rPr>
        <w:t>тромболитическая</w:t>
      </w:r>
      <w:proofErr w:type="spellEnd"/>
      <w:r w:rsidRPr="008570BB">
        <w:rPr>
          <w:rFonts w:ascii="Times New Roman" w:hAnsi="Times New Roman"/>
          <w:color w:val="000000"/>
          <w:sz w:val="28"/>
          <w:szCs w:val="28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заболевания: 2019 год – 9,5%; 2020 год – 11,6%; 2021 год – 13,7%;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пациентов с острым ишемическим инсультом, которым проведена </w:t>
      </w:r>
      <w:proofErr w:type="spellStart"/>
      <w:r w:rsidRPr="008570BB">
        <w:rPr>
          <w:rFonts w:ascii="Times New Roman" w:hAnsi="Times New Roman"/>
          <w:color w:val="000000"/>
          <w:sz w:val="28"/>
          <w:szCs w:val="28"/>
        </w:rPr>
        <w:t>тромболитическая</w:t>
      </w:r>
      <w:proofErr w:type="spellEnd"/>
      <w:r w:rsidRPr="008570BB">
        <w:rPr>
          <w:rFonts w:ascii="Times New Roman" w:hAnsi="Times New Roman"/>
          <w:color w:val="000000"/>
          <w:sz w:val="28"/>
          <w:szCs w:val="28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центры: 2019 год – 5%; 2020 год –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>5%; 2021 год – 5%;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количество обоснованных жалоб, в том числе на отказ в оказании медицинской помощи, предоставляемой в рамках Программы госгарантий – 9,8 на 100 тыс. населения (4,0 – городское население; 5,8 – сельское население).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Критериями доступности медицинской помощи являются: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обеспеченность населения врачами (на 10 тыс. человек населения, включая городское и сельское население), в том числе оказывающими медицинскую помощь в амбулаторных и стационарных условиях: 2019 год – 49,6, включая городское население – 56,70, сельское население – 6,59, в амбулаторных условиях – 23,50 и стационарных условиях – 17,30; 2020 год – 43,4, включая городское население – 57,77, сельское население – 6,71, в амбулаторных условиях – 23,94 и стационарных условиях – 17,62; 2021 год – 44,2, включая городское население – 58,84, сельское население – 6,83, в амбулаторных условиях – 24,38 и стационарных условиях – 17,95;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обеспеченность населения средним медицинским персоналом (на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>10 тыс. человек населения, включая городское и сельское население), в том числе оказывающими медицинскую помощь в амбулаторных и стационарных условиях: 2019 год – 94,7, включая городское население – 116,67, сельское население – 38,59, в амбулаторных условиях – 42,09 и стационарных условиях – 44,11; 2020 год – 96,5, включая городское население – 118,89, сельское население – 39,33, в</w:t>
      </w:r>
      <w:r w:rsidRPr="00EA73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70BB">
        <w:rPr>
          <w:rFonts w:ascii="Times New Roman" w:hAnsi="Times New Roman"/>
          <w:color w:val="000000"/>
          <w:sz w:val="28"/>
          <w:szCs w:val="28"/>
        </w:rPr>
        <w:t>амбулаторных условиях – 42,89 и стационарных условиях – 44,95; 2021 год – 98,0, включая городское население – 120,73, сельское население – 39,95, в амбулаторных условиях – 43,55 и стационарных условиях – 45,65;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расходов на оказание медицинской помощи в условиях дневных стационаров в общих расходах на Программу госгарантий – 8,1%;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доля расходов на оказание медицинской помощи в амбулаторных </w:t>
      </w:r>
      <w:r w:rsidRPr="008570BB">
        <w:rPr>
          <w:rFonts w:ascii="Times New Roman" w:hAnsi="Times New Roman"/>
          <w:color w:val="000000"/>
          <w:spacing w:val="-2"/>
          <w:sz w:val="28"/>
          <w:szCs w:val="28"/>
        </w:rPr>
        <w:t>условиях в неотложной форме в общих расходах на Программу госгарантий –</w:t>
      </w:r>
      <w:r w:rsidRPr="008570BB">
        <w:rPr>
          <w:rFonts w:ascii="Times New Roman" w:hAnsi="Times New Roman"/>
          <w:color w:val="000000"/>
          <w:sz w:val="28"/>
          <w:szCs w:val="28"/>
        </w:rPr>
        <w:t xml:space="preserve"> 2,6%;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охвата диспансеризацией взрослого населения, подлежащего диспансеризации – 21%: 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доля охвата профилактическими медицинскими осмотрами взрослого населения, в том числе городских и сельских жителей: 2019 год – 41,8%, в том числе городских жителей – 44,0%, сельских жителей – 38,0%; 2020 год – </w:t>
      </w:r>
      <w:r w:rsidRPr="008570BB">
        <w:rPr>
          <w:rFonts w:ascii="Times New Roman" w:hAnsi="Times New Roman"/>
          <w:color w:val="000000"/>
          <w:sz w:val="28"/>
          <w:szCs w:val="28"/>
        </w:rPr>
        <w:br/>
        <w:t xml:space="preserve">45,3%, в том числе городских жителей – 46,0%, сельских жителей – 40,0%; 2021 год – 56,6%, в том числе городских жителей – 56,0%, сельских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570BB">
        <w:rPr>
          <w:rFonts w:ascii="Times New Roman" w:hAnsi="Times New Roman"/>
          <w:color w:val="000000"/>
          <w:sz w:val="28"/>
          <w:szCs w:val="28"/>
        </w:rPr>
        <w:t>жителей – 51,0%;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охвата профилактическими медицинскими осмотрами детей, в том числе городских и сельских жителей, подлежащих профилактическим и медицинским осмотрам: 2019 год – 95%; 2020 год – 95%;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70BB">
        <w:rPr>
          <w:rFonts w:ascii="Times New Roman" w:hAnsi="Times New Roman"/>
          <w:color w:val="000000"/>
          <w:sz w:val="28"/>
          <w:szCs w:val="28"/>
        </w:rPr>
        <w:t>2021 год – 95%;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Территориальной программы ОМС: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570BB">
        <w:rPr>
          <w:rFonts w:ascii="Times New Roman" w:hAnsi="Times New Roman"/>
          <w:color w:val="000000"/>
          <w:sz w:val="28"/>
          <w:szCs w:val="28"/>
        </w:rPr>
        <w:t>2019 год – 1,65%;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70BB">
        <w:rPr>
          <w:rFonts w:ascii="Times New Roman" w:hAnsi="Times New Roman"/>
          <w:color w:val="000000"/>
          <w:sz w:val="28"/>
          <w:szCs w:val="28"/>
        </w:rPr>
        <w:t>2020 год – 1,65%; 2021 год – 1,65%;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число лиц, проживающих в сельской местности, которым оказана скорая медицинская помощь (на 1000 человек сельского населения):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8570BB">
        <w:rPr>
          <w:rFonts w:ascii="Times New Roman" w:hAnsi="Times New Roman"/>
          <w:color w:val="000000"/>
          <w:sz w:val="28"/>
          <w:szCs w:val="28"/>
        </w:rPr>
        <w:t>2019 год – 237,0; 2020 год – 237,0; 2021 год – 237,0;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</w:t>
      </w:r>
      <w:r>
        <w:rPr>
          <w:rFonts w:ascii="Times New Roman" w:hAnsi="Times New Roman"/>
          <w:color w:val="000000"/>
          <w:sz w:val="28"/>
          <w:szCs w:val="28"/>
        </w:rPr>
        <w:t>ерских пунктов: 2019 год – 24,9</w:t>
      </w:r>
      <w:r w:rsidRPr="008570BB">
        <w:rPr>
          <w:rFonts w:ascii="Times New Roman" w:hAnsi="Times New Roman"/>
          <w:color w:val="000000"/>
          <w:sz w:val="28"/>
          <w:szCs w:val="28"/>
        </w:rPr>
        <w:t>%; 2020 год – 24,3%; 2021 – 23,8%;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населению: 2019 год – 41%; 2020 год – 41%; 2021 год – 41%;</w:t>
      </w:r>
    </w:p>
    <w:p w:rsidR="00EA7305" w:rsidRPr="008570BB" w:rsidRDefault="00EA7305" w:rsidP="00EA730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доля женщин, которым проведено экстракорпоральное оплодотворение в общем количестве женщин с бесплодием: 2019 год – 27%; 2020 год – 29%; 2021 год – 31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.</w:t>
      </w:r>
    </w:p>
    <w:p w:rsidR="00EA7305" w:rsidRPr="008570BB" w:rsidRDefault="00EA7305" w:rsidP="00EA730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Критерии эффективности деятельности медицинских организаций, в том числе расположенных в городской и сельской местности:</w:t>
      </w:r>
    </w:p>
    <w:p w:rsidR="00EA7305" w:rsidRPr="008570BB" w:rsidRDefault="00EA7305" w:rsidP="00EA730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>выполнение функции врачебной должности: 2019 год – не менее 85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, в том числе в организациях, расположенных в городах, – не менее 87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; в сельской местности – не менее 82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; 2020 год – не менее 86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, в том числе в организациях, расположенных в городах, – не менее 88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, в сельской местности – не менее 83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; 2021 год – не менее 87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, в том числе в организациях, расположенных в городах, – не менее 89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, в сельской местности – не менее 84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8570BB">
        <w:rPr>
          <w:rFonts w:ascii="Times New Roman" w:hAnsi="Times New Roman"/>
          <w:color w:val="000000"/>
          <w:sz w:val="28"/>
          <w:szCs w:val="28"/>
        </w:rPr>
        <w:t>;</w:t>
      </w:r>
    </w:p>
    <w:p w:rsidR="00EA7305" w:rsidRPr="008570BB" w:rsidRDefault="00EA7305" w:rsidP="00EA730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0BB">
        <w:rPr>
          <w:rFonts w:ascii="Times New Roman" w:hAnsi="Times New Roman"/>
          <w:color w:val="000000"/>
          <w:sz w:val="28"/>
          <w:szCs w:val="28"/>
        </w:rPr>
        <w:t xml:space="preserve">использование коечного фонда: 2019 год – 333 дня в году, в том числе в медицинских организациях, расположенных в городской местности – 333 дня </w:t>
      </w:r>
      <w:r w:rsidRPr="008570BB">
        <w:rPr>
          <w:rFonts w:ascii="Times New Roman" w:hAnsi="Times New Roman"/>
          <w:color w:val="000000"/>
          <w:sz w:val="28"/>
          <w:szCs w:val="28"/>
        </w:rPr>
        <w:lastRenderedPageBreak/>
        <w:t>в году, в сельской местности – 333 дня в году, 2020 год – 333 дня в году, в том числе в медицинских организациях, расположенных в городской местности – 333 дня в году, в сельской местности – 333 дня в году, 2021 год –333 дня в году, в том числе в медицинских организациях, расположенных в городской местности – 333 дня в году, в сельской местности – 333 дня в году.</w:t>
      </w:r>
    </w:p>
    <w:p w:rsidR="00EA7305" w:rsidRDefault="00EA7305" w:rsidP="00EA7305">
      <w:bookmarkStart w:id="1" w:name="_GoBack"/>
      <w:bookmarkEnd w:id="1"/>
    </w:p>
    <w:sectPr w:rsidR="00EA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F9"/>
    <w:rsid w:val="00A556F9"/>
    <w:rsid w:val="00E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25D95-58B4-409A-9B8B-78060974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05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05.12.2018\&#1055;&#1088;&#1080;&#1083;&#1086;&#1078;&#1077;&#1085;&#1080;&#1077;%20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9344</Characters>
  <Application>Microsoft Office Word</Application>
  <DocSecurity>0</DocSecurity>
  <Lines>77</Lines>
  <Paragraphs>21</Paragraphs>
  <ScaleCrop>false</ScaleCrop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2019-08-23T11:17:00Z</dcterms:created>
  <dcterms:modified xsi:type="dcterms:W3CDTF">2019-08-23T11:22:00Z</dcterms:modified>
</cp:coreProperties>
</file>